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0CB2575E" w:rsidR="00EB2284" w:rsidRPr="00885199" w:rsidRDefault="00885199" w:rsidP="00885199">
      <w:pPr>
        <w:widowControl w:val="0"/>
        <w:spacing w:before="165" w:line="360" w:lineRule="auto"/>
        <w:ind w:left="9" w:right="163" w:hanging="5"/>
        <w:jc w:val="both"/>
        <w:rPr>
          <w:rFonts w:eastAsia="Times New Roman"/>
          <w:b/>
          <w:sz w:val="24"/>
          <w:szCs w:val="24"/>
        </w:rPr>
      </w:pPr>
      <w:bookmarkStart w:id="0" w:name="_GoBack"/>
      <w:r w:rsidRPr="00885199">
        <w:rPr>
          <w:rFonts w:eastAsia="Times New Roman"/>
          <w:b/>
          <w:sz w:val="24"/>
          <w:szCs w:val="24"/>
        </w:rPr>
        <w:t xml:space="preserve">LA COSA JUZGADA ADMINISTRATIVA EN LA LEY 27.348 </w:t>
      </w:r>
    </w:p>
    <w:bookmarkEnd w:id="0"/>
    <w:p w14:paraId="00000003" w14:textId="23ADF8A6" w:rsidR="00EB2284" w:rsidRPr="00885199" w:rsidRDefault="00885199" w:rsidP="00885199">
      <w:pPr>
        <w:widowControl w:val="0"/>
        <w:spacing w:before="165" w:line="360" w:lineRule="auto"/>
        <w:ind w:left="9" w:right="163" w:hanging="5"/>
        <w:jc w:val="both"/>
        <w:rPr>
          <w:rFonts w:eastAsia="Times New Roman"/>
          <w:b/>
          <w:sz w:val="24"/>
          <w:szCs w:val="24"/>
        </w:rPr>
      </w:pPr>
      <w:r w:rsidRPr="00885199">
        <w:rPr>
          <w:rFonts w:eastAsia="Times New Roman"/>
          <w:b/>
          <w:sz w:val="24"/>
          <w:szCs w:val="24"/>
        </w:rPr>
        <w:tab/>
        <w:t>JAVIER NAGATA</w:t>
      </w:r>
      <w:r w:rsidR="00697DA4" w:rsidRPr="00885199">
        <w:rPr>
          <w:rFonts w:eastAsia="Times New Roman"/>
          <w:b/>
          <w:sz w:val="24"/>
          <w:szCs w:val="24"/>
          <w:vertAlign w:val="superscript"/>
        </w:rPr>
        <w:footnoteReference w:id="1"/>
      </w:r>
      <w:r w:rsidR="00697DA4" w:rsidRPr="00885199">
        <w:rPr>
          <w:rFonts w:eastAsia="Times New Roman"/>
          <w:b/>
          <w:sz w:val="24"/>
          <w:szCs w:val="24"/>
        </w:rPr>
        <w:t xml:space="preserve"> </w:t>
      </w:r>
    </w:p>
    <w:p w14:paraId="00000004" w14:textId="77777777" w:rsidR="00EB2284" w:rsidRPr="00885199" w:rsidRDefault="00EB2284" w:rsidP="00885199">
      <w:pPr>
        <w:widowControl w:val="0"/>
        <w:spacing w:line="360" w:lineRule="auto"/>
        <w:ind w:left="720" w:right="844"/>
        <w:jc w:val="both"/>
        <w:rPr>
          <w:rFonts w:eastAsia="Times New Roman"/>
          <w:b/>
          <w:sz w:val="24"/>
          <w:szCs w:val="24"/>
        </w:rPr>
      </w:pPr>
    </w:p>
    <w:p w14:paraId="00000005" w14:textId="77777777" w:rsidR="00EB2284" w:rsidRPr="00885199" w:rsidRDefault="00EB2284" w:rsidP="00885199">
      <w:pPr>
        <w:widowControl w:val="0"/>
        <w:spacing w:line="360" w:lineRule="auto"/>
        <w:ind w:left="720" w:right="844"/>
        <w:jc w:val="both"/>
        <w:rPr>
          <w:rFonts w:eastAsia="Times New Roman"/>
          <w:b/>
          <w:sz w:val="24"/>
          <w:szCs w:val="24"/>
        </w:rPr>
      </w:pPr>
    </w:p>
    <w:p w14:paraId="00000006" w14:textId="77777777" w:rsidR="00EB2284" w:rsidRPr="00885199" w:rsidRDefault="00697DA4" w:rsidP="00885199">
      <w:pPr>
        <w:widowControl w:val="0"/>
        <w:spacing w:line="360" w:lineRule="auto"/>
        <w:ind w:right="844"/>
        <w:jc w:val="both"/>
        <w:rPr>
          <w:rFonts w:eastAsia="Times New Roman"/>
          <w:b/>
          <w:sz w:val="24"/>
          <w:szCs w:val="24"/>
        </w:rPr>
      </w:pPr>
      <w:r w:rsidRPr="00885199">
        <w:rPr>
          <w:rFonts w:eastAsia="Times New Roman"/>
          <w:b/>
          <w:sz w:val="24"/>
          <w:szCs w:val="24"/>
        </w:rPr>
        <w:t xml:space="preserve"> </w:t>
      </w:r>
      <w:r w:rsidRPr="00885199">
        <w:rPr>
          <w:rFonts w:eastAsia="Times New Roman"/>
          <w:b/>
          <w:sz w:val="24"/>
          <w:szCs w:val="24"/>
        </w:rPr>
        <w:tab/>
        <w:t xml:space="preserve">I -  Antecedentes de la </w:t>
      </w:r>
      <w:r w:rsidRPr="00885199">
        <w:rPr>
          <w:rFonts w:eastAsia="Times New Roman"/>
          <w:b/>
          <w:i/>
          <w:sz w:val="24"/>
          <w:szCs w:val="24"/>
        </w:rPr>
        <w:t xml:space="preserve">“cosa juzgada administrativa”. </w:t>
      </w:r>
      <w:r w:rsidRPr="00885199">
        <w:rPr>
          <w:rFonts w:eastAsia="Times New Roman"/>
          <w:b/>
          <w:sz w:val="24"/>
          <w:szCs w:val="24"/>
        </w:rPr>
        <w:t xml:space="preserve">El fallo “CARMAN DE CANTON”. </w:t>
      </w:r>
      <w:r w:rsidRPr="00885199">
        <w:rPr>
          <w:rFonts w:eastAsia="Times New Roman"/>
          <w:b/>
          <w:sz w:val="24"/>
          <w:szCs w:val="24"/>
        </w:rPr>
        <w:t>Los Plenarios de la CNAT  “CORUJO” y “LAFALCE”</w:t>
      </w:r>
    </w:p>
    <w:p w14:paraId="00000007" w14:textId="77777777" w:rsidR="00EB2284" w:rsidRPr="00885199" w:rsidRDefault="00697DA4" w:rsidP="00885199">
      <w:pPr>
        <w:widowControl w:val="0"/>
        <w:spacing w:line="360" w:lineRule="auto"/>
        <w:ind w:right="844" w:firstLine="4"/>
        <w:jc w:val="both"/>
        <w:rPr>
          <w:rFonts w:eastAsia="Times New Roman"/>
          <w:sz w:val="24"/>
          <w:szCs w:val="24"/>
        </w:rPr>
      </w:pPr>
      <w:r w:rsidRPr="00885199">
        <w:rPr>
          <w:rFonts w:eastAsia="Times New Roman"/>
          <w:sz w:val="24"/>
          <w:szCs w:val="24"/>
        </w:rPr>
        <w:t xml:space="preserve"> </w:t>
      </w:r>
      <w:r w:rsidRPr="00885199">
        <w:rPr>
          <w:rFonts w:eastAsia="Times New Roman"/>
          <w:sz w:val="24"/>
          <w:szCs w:val="24"/>
        </w:rPr>
        <w:tab/>
        <w:t>Una de las novedades introducidas por la Ley 27.348 fue el de establecer -en ciertos supuestos- el carácter de cosa juzgada a lo decidido en sede administrativa (</w:t>
      </w:r>
      <w:r w:rsidRPr="00885199">
        <w:rPr>
          <w:rFonts w:eastAsia="Times New Roman"/>
          <w:i/>
          <w:sz w:val="24"/>
          <w:szCs w:val="24"/>
        </w:rPr>
        <w:t>“cosa juzgada administrativa</w:t>
      </w:r>
      <w:r w:rsidRPr="00885199">
        <w:rPr>
          <w:rFonts w:eastAsia="Times New Roman"/>
          <w:sz w:val="24"/>
          <w:szCs w:val="24"/>
        </w:rPr>
        <w:t>”) con la inocult</w:t>
      </w:r>
      <w:r w:rsidRPr="00885199">
        <w:rPr>
          <w:rFonts w:eastAsia="Times New Roman"/>
          <w:sz w:val="24"/>
          <w:szCs w:val="24"/>
        </w:rPr>
        <w:t xml:space="preserve">able intención de cerrarle al trabajador víctima de un infortunio laboral el acceso a la vía judicial. </w:t>
      </w:r>
    </w:p>
    <w:p w14:paraId="00000008" w14:textId="77777777" w:rsidR="00EB2284" w:rsidRPr="00885199" w:rsidRDefault="00697DA4" w:rsidP="00885199">
      <w:pPr>
        <w:widowControl w:val="0"/>
        <w:spacing w:line="360" w:lineRule="auto"/>
        <w:ind w:right="844" w:firstLine="720"/>
        <w:jc w:val="both"/>
        <w:rPr>
          <w:rFonts w:eastAsia="Times New Roman"/>
          <w:i/>
          <w:sz w:val="24"/>
          <w:szCs w:val="24"/>
        </w:rPr>
      </w:pPr>
      <w:r w:rsidRPr="00885199">
        <w:rPr>
          <w:rFonts w:eastAsia="Times New Roman"/>
          <w:sz w:val="24"/>
          <w:szCs w:val="24"/>
        </w:rPr>
        <w:t xml:space="preserve">Cabe señalar en este punto que el concepto de </w:t>
      </w:r>
      <w:r w:rsidRPr="00885199">
        <w:rPr>
          <w:rFonts w:eastAsia="Times New Roman"/>
          <w:i/>
          <w:sz w:val="24"/>
          <w:szCs w:val="24"/>
        </w:rPr>
        <w:t xml:space="preserve">“cosa juzgada administrativa” </w:t>
      </w:r>
      <w:r w:rsidRPr="00885199">
        <w:rPr>
          <w:rFonts w:eastAsia="Times New Roman"/>
          <w:sz w:val="24"/>
          <w:szCs w:val="24"/>
        </w:rPr>
        <w:t xml:space="preserve">va a ser acuñado por primera vez por la Corte Suprema de Justicia en el </w:t>
      </w:r>
      <w:proofErr w:type="spellStart"/>
      <w:r w:rsidRPr="00885199">
        <w:rPr>
          <w:rFonts w:eastAsia="Times New Roman"/>
          <w:sz w:val="24"/>
          <w:szCs w:val="24"/>
        </w:rPr>
        <w:t>lead</w:t>
      </w:r>
      <w:r w:rsidRPr="00885199">
        <w:rPr>
          <w:rFonts w:eastAsia="Times New Roman"/>
          <w:sz w:val="24"/>
          <w:szCs w:val="24"/>
        </w:rPr>
        <w:t>ing</w:t>
      </w:r>
      <w:proofErr w:type="spellEnd"/>
      <w:r w:rsidRPr="00885199">
        <w:rPr>
          <w:rFonts w:eastAsia="Times New Roman"/>
          <w:sz w:val="24"/>
          <w:szCs w:val="24"/>
        </w:rPr>
        <w:t xml:space="preserve"> case “CARMAN DE CANTON, ELENA C/NACION ARGENTINA” el 14 de agosto de 1936 (Fallos 173:368). En ese precedente el entonces Presidente Agustín P. Justo intentó dejar sin efecto el beneficio previsional otorgado en sede administrativa al esposo de la acto</w:t>
      </w:r>
      <w:r w:rsidRPr="00885199">
        <w:rPr>
          <w:rFonts w:eastAsia="Times New Roman"/>
          <w:sz w:val="24"/>
          <w:szCs w:val="24"/>
        </w:rPr>
        <w:t xml:space="preserve">ra (viuda del Dr. </w:t>
      </w:r>
      <w:proofErr w:type="spellStart"/>
      <w:r w:rsidRPr="00885199">
        <w:rPr>
          <w:rFonts w:eastAsia="Times New Roman"/>
          <w:sz w:val="24"/>
          <w:szCs w:val="24"/>
        </w:rPr>
        <w:t>Canton</w:t>
      </w:r>
      <w:proofErr w:type="spellEnd"/>
      <w:r w:rsidRPr="00885199">
        <w:rPr>
          <w:rFonts w:eastAsia="Times New Roman"/>
          <w:sz w:val="24"/>
          <w:szCs w:val="24"/>
        </w:rPr>
        <w:t xml:space="preserve"> y beneficiaria de la pensión por su fallecimiento) 20 años atrás. Nuestro más Alto Tribunal en el caso aludido desestimó la postura de la Administración y reconoció el derecho de la actora a cobrar la pensión derivada del fallecimi</w:t>
      </w:r>
      <w:r w:rsidRPr="00885199">
        <w:rPr>
          <w:rFonts w:eastAsia="Times New Roman"/>
          <w:sz w:val="24"/>
          <w:szCs w:val="24"/>
        </w:rPr>
        <w:t xml:space="preserve">ento de su esposo sobre la base de que lo contrario importaría violar la </w:t>
      </w:r>
      <w:r w:rsidRPr="00885199">
        <w:rPr>
          <w:rFonts w:eastAsia="Times New Roman"/>
          <w:i/>
          <w:sz w:val="24"/>
          <w:szCs w:val="24"/>
        </w:rPr>
        <w:t xml:space="preserve">“cosa juzgada administrativa”. </w:t>
      </w:r>
    </w:p>
    <w:p w14:paraId="00000009" w14:textId="77777777" w:rsidR="00EB2284" w:rsidRPr="00885199" w:rsidRDefault="00697DA4" w:rsidP="00885199">
      <w:pPr>
        <w:widowControl w:val="0"/>
        <w:spacing w:line="360" w:lineRule="auto"/>
        <w:ind w:right="844" w:firstLine="720"/>
        <w:jc w:val="both"/>
        <w:rPr>
          <w:rFonts w:eastAsia="Times New Roman"/>
          <w:sz w:val="24"/>
          <w:szCs w:val="24"/>
        </w:rPr>
      </w:pPr>
      <w:r w:rsidRPr="00885199">
        <w:rPr>
          <w:rFonts w:eastAsia="Times New Roman"/>
          <w:sz w:val="24"/>
          <w:szCs w:val="24"/>
        </w:rPr>
        <w:t xml:space="preserve">Por otra parte en el ámbito laboral propiamente dicho no puede soslayarse el impacto que tuvieron en ese tópico los Plenarios de la CAMARA NACIONAL DE </w:t>
      </w:r>
      <w:r w:rsidRPr="00885199">
        <w:rPr>
          <w:rFonts w:eastAsia="Times New Roman"/>
          <w:sz w:val="24"/>
          <w:szCs w:val="24"/>
        </w:rPr>
        <w:t xml:space="preserve">APELACIONES DEL TRABAJO recaídos en los caso “CORUJO, OSVALDO C/DONCOURT HERMANOS S.A. del 26 de agosto de 1953 (Acta Nro. 393) en donde se estableció que </w:t>
      </w:r>
      <w:r w:rsidRPr="00885199">
        <w:rPr>
          <w:rFonts w:eastAsia="Times New Roman"/>
          <w:i/>
          <w:sz w:val="24"/>
          <w:szCs w:val="24"/>
        </w:rPr>
        <w:t>“los acuerdos de parte adoptados con intervención y aprobación del Ministerio de Trabajo tienen el ca</w:t>
      </w:r>
      <w:r w:rsidRPr="00885199">
        <w:rPr>
          <w:rFonts w:eastAsia="Times New Roman"/>
          <w:i/>
          <w:sz w:val="24"/>
          <w:szCs w:val="24"/>
        </w:rPr>
        <w:t xml:space="preserve">rácter y el alcance de la cosa juzgada” </w:t>
      </w:r>
      <w:r w:rsidRPr="00885199">
        <w:rPr>
          <w:rFonts w:eastAsia="Times New Roman"/>
          <w:sz w:val="24"/>
          <w:szCs w:val="24"/>
        </w:rPr>
        <w:t xml:space="preserve">y “LAFALCE, ANGEL </w:t>
      </w:r>
      <w:r w:rsidRPr="00885199">
        <w:rPr>
          <w:rFonts w:eastAsia="Times New Roman"/>
          <w:sz w:val="24"/>
          <w:szCs w:val="24"/>
        </w:rPr>
        <w:lastRenderedPageBreak/>
        <w:t>C/CASA ENRIQUE SCHUSTER S.A” del 29/09/70 (PLENARIO NRO. 137) en el que el Tribunal sentó jurisprudencia en el sentido que “</w:t>
      </w:r>
      <w:r w:rsidRPr="00885199">
        <w:rPr>
          <w:rFonts w:eastAsia="Times New Roman"/>
          <w:i/>
          <w:sz w:val="24"/>
          <w:szCs w:val="24"/>
        </w:rPr>
        <w:t>la manifestación de la parte actora en un acuerdo conciliatorio de que ´un</w:t>
      </w:r>
      <w:r w:rsidRPr="00885199">
        <w:rPr>
          <w:rFonts w:eastAsia="Times New Roman"/>
          <w:i/>
          <w:sz w:val="24"/>
          <w:szCs w:val="24"/>
        </w:rPr>
        <w:t>a vez percibida íntegramente la suma acordada en esta conciliación nada más tiene que reclamar de la demandada por ningún concepto emergente del vínculo laboral que las uniera´, hace cosa en juicio posterior donde se reclama un crédito que no fue objeto de</w:t>
      </w:r>
      <w:r w:rsidRPr="00885199">
        <w:rPr>
          <w:rFonts w:eastAsia="Times New Roman"/>
          <w:i/>
          <w:sz w:val="24"/>
          <w:szCs w:val="24"/>
        </w:rPr>
        <w:t>l proceso conciliatorio”</w:t>
      </w:r>
      <w:r w:rsidRPr="00885199">
        <w:rPr>
          <w:rFonts w:eastAsia="Times New Roman"/>
          <w:sz w:val="24"/>
          <w:szCs w:val="24"/>
        </w:rPr>
        <w:t>. En este último supuesto si bien el Plenario se refería a sentencias dictadas en el marco de un proceso judicial la jurisprudencia en términos mayoritario extendió sus efectos a los acuerdos alcanzados en sede administrativa resolv</w:t>
      </w:r>
      <w:r w:rsidRPr="00885199">
        <w:rPr>
          <w:rFonts w:eastAsia="Times New Roman"/>
          <w:sz w:val="24"/>
          <w:szCs w:val="24"/>
        </w:rPr>
        <w:t>iéndose en tal sentido que el “</w:t>
      </w:r>
      <w:r w:rsidRPr="00885199">
        <w:rPr>
          <w:rFonts w:eastAsia="Times New Roman"/>
          <w:i/>
          <w:sz w:val="24"/>
          <w:szCs w:val="24"/>
        </w:rPr>
        <w:t>el acuerdo suscripto en sede administrativa -en este caso en el SECLO- homologado por la autoridad de aplicación con arreglo al art. 15 de la LCT tiene pleno efecto y a la luz de la doctrina emanada del Fallo Plenario Nro. 13</w:t>
      </w:r>
      <w:r w:rsidRPr="00885199">
        <w:rPr>
          <w:rFonts w:eastAsia="Times New Roman"/>
          <w:i/>
          <w:sz w:val="24"/>
          <w:szCs w:val="24"/>
        </w:rPr>
        <w:t xml:space="preserve">7, </w:t>
      </w:r>
      <w:proofErr w:type="gramStart"/>
      <w:r w:rsidRPr="00885199">
        <w:rPr>
          <w:rFonts w:eastAsia="Times New Roman"/>
          <w:i/>
          <w:sz w:val="24"/>
          <w:szCs w:val="24"/>
        </w:rPr>
        <w:t>obsta</w:t>
      </w:r>
      <w:proofErr w:type="gramEnd"/>
      <w:r w:rsidRPr="00885199">
        <w:rPr>
          <w:rFonts w:eastAsia="Times New Roman"/>
          <w:i/>
          <w:sz w:val="24"/>
          <w:szCs w:val="24"/>
        </w:rPr>
        <w:t xml:space="preserve"> a todo reclamo posterior” </w:t>
      </w:r>
      <w:r w:rsidRPr="00885199">
        <w:rPr>
          <w:rFonts w:eastAsia="Times New Roman"/>
          <w:sz w:val="24"/>
          <w:szCs w:val="24"/>
        </w:rPr>
        <w:t xml:space="preserve">(CNAT SALA II, del voto del Dr. </w:t>
      </w:r>
      <w:proofErr w:type="spellStart"/>
      <w:r w:rsidRPr="00885199">
        <w:rPr>
          <w:rFonts w:eastAsia="Times New Roman"/>
          <w:sz w:val="24"/>
          <w:szCs w:val="24"/>
        </w:rPr>
        <w:t>Pirolo</w:t>
      </w:r>
      <w:proofErr w:type="spellEnd"/>
      <w:r w:rsidRPr="00885199">
        <w:rPr>
          <w:rFonts w:eastAsia="Times New Roman"/>
          <w:sz w:val="24"/>
          <w:szCs w:val="24"/>
        </w:rPr>
        <w:t xml:space="preserve">, </w:t>
      </w:r>
      <w:proofErr w:type="spellStart"/>
      <w:r w:rsidRPr="00885199">
        <w:rPr>
          <w:rFonts w:eastAsia="Times New Roman"/>
          <w:sz w:val="24"/>
          <w:szCs w:val="24"/>
        </w:rPr>
        <w:t>sent</w:t>
      </w:r>
      <w:proofErr w:type="spellEnd"/>
      <w:r w:rsidRPr="00885199">
        <w:rPr>
          <w:rFonts w:eastAsia="Times New Roman"/>
          <w:sz w:val="24"/>
          <w:szCs w:val="24"/>
        </w:rPr>
        <w:t xml:space="preserve">. 19/09/07 en autos “SCAIOTTI, SERGIO C/PERVENT S.A. S/DIFERENCIAS DE SALARIO”). </w:t>
      </w:r>
    </w:p>
    <w:p w14:paraId="0000000A" w14:textId="77777777" w:rsidR="00EB2284" w:rsidRPr="00885199" w:rsidRDefault="00697DA4" w:rsidP="00885199">
      <w:pPr>
        <w:widowControl w:val="0"/>
        <w:spacing w:line="360" w:lineRule="auto"/>
        <w:ind w:right="844"/>
        <w:jc w:val="both"/>
        <w:rPr>
          <w:rFonts w:eastAsia="Times New Roman"/>
          <w:b/>
          <w:sz w:val="24"/>
          <w:szCs w:val="24"/>
        </w:rPr>
      </w:pPr>
      <w:r w:rsidRPr="00885199">
        <w:rPr>
          <w:rFonts w:eastAsia="Times New Roman"/>
          <w:b/>
          <w:sz w:val="24"/>
          <w:szCs w:val="24"/>
        </w:rPr>
        <w:tab/>
      </w:r>
    </w:p>
    <w:p w14:paraId="0000000B" w14:textId="77777777" w:rsidR="00EB2284" w:rsidRPr="00885199" w:rsidRDefault="00697DA4" w:rsidP="00885199">
      <w:pPr>
        <w:widowControl w:val="0"/>
        <w:spacing w:line="360" w:lineRule="auto"/>
        <w:ind w:right="844" w:firstLine="720"/>
        <w:jc w:val="both"/>
        <w:rPr>
          <w:rFonts w:eastAsia="Times New Roman"/>
          <w:b/>
          <w:i/>
          <w:sz w:val="24"/>
          <w:szCs w:val="24"/>
        </w:rPr>
      </w:pPr>
      <w:r w:rsidRPr="00885199">
        <w:rPr>
          <w:rFonts w:eastAsia="Times New Roman"/>
          <w:b/>
          <w:sz w:val="24"/>
          <w:szCs w:val="24"/>
        </w:rPr>
        <w:t xml:space="preserve">II - La Ley 27.348. Supuestos de </w:t>
      </w:r>
      <w:r w:rsidRPr="00885199">
        <w:rPr>
          <w:rFonts w:eastAsia="Times New Roman"/>
          <w:b/>
          <w:i/>
          <w:sz w:val="24"/>
          <w:szCs w:val="24"/>
        </w:rPr>
        <w:t xml:space="preserve">“cosa juzgada administrativa”. </w:t>
      </w:r>
      <w:r w:rsidRPr="00885199">
        <w:rPr>
          <w:rFonts w:eastAsia="Times New Roman"/>
          <w:b/>
          <w:sz w:val="24"/>
          <w:szCs w:val="24"/>
        </w:rPr>
        <w:t xml:space="preserve">Alcances. Diferencias con la </w:t>
      </w:r>
      <w:r w:rsidRPr="00885199">
        <w:rPr>
          <w:rFonts w:eastAsia="Times New Roman"/>
          <w:b/>
          <w:i/>
          <w:sz w:val="24"/>
          <w:szCs w:val="24"/>
        </w:rPr>
        <w:t xml:space="preserve">“cosa juzgada judicial”. </w:t>
      </w:r>
    </w:p>
    <w:p w14:paraId="0000000C" w14:textId="77777777" w:rsidR="00EB2284" w:rsidRPr="00885199" w:rsidRDefault="00697DA4" w:rsidP="00885199">
      <w:pPr>
        <w:widowControl w:val="0"/>
        <w:spacing w:line="360" w:lineRule="auto"/>
        <w:ind w:right="844" w:firstLine="720"/>
        <w:jc w:val="both"/>
        <w:rPr>
          <w:rFonts w:eastAsia="Times New Roman"/>
          <w:sz w:val="24"/>
          <w:szCs w:val="24"/>
        </w:rPr>
      </w:pPr>
      <w:r w:rsidRPr="00885199">
        <w:rPr>
          <w:rFonts w:eastAsia="Times New Roman"/>
          <w:sz w:val="24"/>
          <w:szCs w:val="24"/>
        </w:rPr>
        <w:t xml:space="preserve">La Ley 27.348 establece 2 supuestos de </w:t>
      </w:r>
      <w:r w:rsidRPr="00885199">
        <w:rPr>
          <w:rFonts w:eastAsia="Times New Roman"/>
          <w:i/>
          <w:sz w:val="24"/>
          <w:szCs w:val="24"/>
        </w:rPr>
        <w:t xml:space="preserve">“cosa juzgada administrativa” </w:t>
      </w:r>
      <w:r w:rsidRPr="00885199">
        <w:rPr>
          <w:rFonts w:eastAsia="Times New Roman"/>
          <w:sz w:val="24"/>
          <w:szCs w:val="24"/>
        </w:rPr>
        <w:t xml:space="preserve">en el procedimiento administrativo a llevarse adelante en el ámbito de las Comisiones Médicas. </w:t>
      </w:r>
    </w:p>
    <w:p w14:paraId="0000000D" w14:textId="77777777" w:rsidR="00EB2284" w:rsidRPr="00885199" w:rsidRDefault="00697DA4" w:rsidP="00885199">
      <w:pPr>
        <w:widowControl w:val="0"/>
        <w:spacing w:line="360" w:lineRule="auto"/>
        <w:ind w:right="844" w:firstLine="720"/>
        <w:jc w:val="both"/>
        <w:rPr>
          <w:rFonts w:eastAsia="Times New Roman"/>
          <w:i/>
          <w:sz w:val="24"/>
          <w:szCs w:val="24"/>
        </w:rPr>
      </w:pPr>
      <w:r w:rsidRPr="00885199">
        <w:rPr>
          <w:rFonts w:eastAsia="Times New Roman"/>
          <w:sz w:val="24"/>
          <w:szCs w:val="24"/>
        </w:rPr>
        <w:t>El primero de los supuestos es el caso en el que no se hubiere cu</w:t>
      </w:r>
      <w:r w:rsidRPr="00885199">
        <w:rPr>
          <w:rFonts w:eastAsia="Times New Roman"/>
          <w:sz w:val="24"/>
          <w:szCs w:val="24"/>
        </w:rPr>
        <w:t xml:space="preserve">estionado lo decidido en la instancia administrativa a través de la vía recursiva establecida por la propia Ley 27.348. Así lo establece el artículo 2 de la Ley 27.348 el que determina que </w:t>
      </w:r>
      <w:r w:rsidRPr="00885199">
        <w:rPr>
          <w:rFonts w:eastAsia="Times New Roman"/>
          <w:i/>
          <w:sz w:val="24"/>
          <w:szCs w:val="24"/>
        </w:rPr>
        <w:t>“los decisorios que dicten las comisiones médicas jurisdiccionales o la Comisión Médica Central que no fueren motivo de recurso alguno por las partes así como las resoluciones homologatorias, pasarán en autoridad de cosa juzgada administrativa en los térmi</w:t>
      </w:r>
      <w:r w:rsidRPr="00885199">
        <w:rPr>
          <w:rFonts w:eastAsia="Times New Roman"/>
          <w:i/>
          <w:sz w:val="24"/>
          <w:szCs w:val="24"/>
        </w:rPr>
        <w:t>nos del artículo 15 de la ley 20.744 (</w:t>
      </w:r>
      <w:proofErr w:type="spellStart"/>
      <w:r w:rsidRPr="00885199">
        <w:rPr>
          <w:rFonts w:eastAsia="Times New Roman"/>
          <w:i/>
          <w:sz w:val="24"/>
          <w:szCs w:val="24"/>
        </w:rPr>
        <w:t>t.o</w:t>
      </w:r>
      <w:proofErr w:type="spellEnd"/>
      <w:r w:rsidRPr="00885199">
        <w:rPr>
          <w:rFonts w:eastAsia="Times New Roman"/>
          <w:i/>
          <w:sz w:val="24"/>
          <w:szCs w:val="24"/>
        </w:rPr>
        <w:t>. 1976)”</w:t>
      </w:r>
    </w:p>
    <w:p w14:paraId="0000000E" w14:textId="77777777" w:rsidR="00EB2284" w:rsidRPr="00885199" w:rsidRDefault="00697DA4" w:rsidP="00885199">
      <w:pPr>
        <w:widowControl w:val="0"/>
        <w:spacing w:line="360" w:lineRule="auto"/>
        <w:ind w:right="844" w:firstLine="4"/>
        <w:jc w:val="both"/>
        <w:rPr>
          <w:rFonts w:eastAsia="Times New Roman"/>
          <w:i/>
          <w:sz w:val="24"/>
          <w:szCs w:val="24"/>
        </w:rPr>
      </w:pPr>
      <w:r w:rsidRPr="00885199">
        <w:rPr>
          <w:rFonts w:eastAsia="Times New Roman"/>
          <w:i/>
          <w:sz w:val="24"/>
          <w:szCs w:val="24"/>
        </w:rPr>
        <w:tab/>
      </w:r>
      <w:r w:rsidRPr="00885199">
        <w:rPr>
          <w:rFonts w:eastAsia="Times New Roman"/>
          <w:sz w:val="24"/>
          <w:szCs w:val="24"/>
        </w:rPr>
        <w:t>El segundo supuesto es cuando las partes (</w:t>
      </w:r>
      <w:proofErr w:type="spellStart"/>
      <w:r w:rsidRPr="00885199">
        <w:rPr>
          <w:rFonts w:eastAsia="Times New Roman"/>
          <w:sz w:val="24"/>
          <w:szCs w:val="24"/>
        </w:rPr>
        <w:t>leáse</w:t>
      </w:r>
      <w:proofErr w:type="spellEnd"/>
      <w:r w:rsidRPr="00885199">
        <w:rPr>
          <w:rFonts w:eastAsia="Times New Roman"/>
          <w:sz w:val="24"/>
          <w:szCs w:val="24"/>
        </w:rPr>
        <w:t xml:space="preserve"> el trabajador y su aseguradora de riesgos del trabajo) arriben en la instancia administrativa a algún acuerdo. Así lo determina el artículo 4 del ANEXO I - P</w:t>
      </w:r>
      <w:r w:rsidRPr="00885199">
        <w:rPr>
          <w:rFonts w:eastAsia="Times New Roman"/>
          <w:sz w:val="24"/>
          <w:szCs w:val="24"/>
        </w:rPr>
        <w:t xml:space="preserve">ROCEDIMIENTO ANTE EL SERVICIO DE HOMOLOGACIÓN EN EL </w:t>
      </w:r>
      <w:r w:rsidRPr="00885199">
        <w:rPr>
          <w:rFonts w:eastAsia="Times New Roman"/>
          <w:sz w:val="24"/>
          <w:szCs w:val="24"/>
        </w:rPr>
        <w:lastRenderedPageBreak/>
        <w:t xml:space="preserve">AMBITO DE LAS COMISIONES MEDICAS JURISDICCIONALES de la Ley 27.348 el que determina que </w:t>
      </w:r>
      <w:r w:rsidRPr="00885199">
        <w:rPr>
          <w:rFonts w:eastAsia="Times New Roman"/>
          <w:i/>
          <w:sz w:val="24"/>
          <w:szCs w:val="24"/>
        </w:rPr>
        <w:t xml:space="preserve">“los actos de homologación asumirán autoridad de cosa juzgada administrativa en los términos y con los alcances del </w:t>
      </w:r>
      <w:r w:rsidRPr="00885199">
        <w:rPr>
          <w:rFonts w:eastAsia="Times New Roman"/>
          <w:i/>
          <w:sz w:val="24"/>
          <w:szCs w:val="24"/>
        </w:rPr>
        <w:t>artículo 15 de la ley 20.744 (</w:t>
      </w:r>
      <w:proofErr w:type="spellStart"/>
      <w:r w:rsidRPr="00885199">
        <w:rPr>
          <w:rFonts w:eastAsia="Times New Roman"/>
          <w:i/>
          <w:sz w:val="24"/>
          <w:szCs w:val="24"/>
        </w:rPr>
        <w:t>t.o</w:t>
      </w:r>
      <w:proofErr w:type="spellEnd"/>
      <w:r w:rsidRPr="00885199">
        <w:rPr>
          <w:rFonts w:eastAsia="Times New Roman"/>
          <w:i/>
          <w:sz w:val="24"/>
          <w:szCs w:val="24"/>
        </w:rPr>
        <w:t>. 1976)”.</w:t>
      </w:r>
    </w:p>
    <w:p w14:paraId="0000000F" w14:textId="77777777" w:rsidR="00EB2284" w:rsidRPr="00885199" w:rsidRDefault="00697DA4" w:rsidP="00885199">
      <w:pPr>
        <w:widowControl w:val="0"/>
        <w:spacing w:line="360" w:lineRule="auto"/>
        <w:ind w:right="844"/>
        <w:jc w:val="both"/>
        <w:rPr>
          <w:rFonts w:eastAsia="Times New Roman"/>
          <w:i/>
          <w:sz w:val="24"/>
          <w:szCs w:val="24"/>
        </w:rPr>
      </w:pPr>
      <w:r w:rsidRPr="00885199">
        <w:rPr>
          <w:rFonts w:eastAsia="Times New Roman"/>
          <w:sz w:val="24"/>
          <w:szCs w:val="24"/>
        </w:rPr>
        <w:t xml:space="preserve"> </w:t>
      </w:r>
      <w:r w:rsidRPr="00885199">
        <w:rPr>
          <w:rFonts w:eastAsia="Times New Roman"/>
          <w:sz w:val="24"/>
          <w:szCs w:val="24"/>
        </w:rPr>
        <w:tab/>
        <w:t xml:space="preserve">El primero de los supuestos mencionados, esto es el que establece la </w:t>
      </w:r>
      <w:r w:rsidRPr="00885199">
        <w:rPr>
          <w:rFonts w:eastAsia="Times New Roman"/>
          <w:i/>
          <w:sz w:val="24"/>
          <w:szCs w:val="24"/>
        </w:rPr>
        <w:t xml:space="preserve">“cosa juzgada” </w:t>
      </w:r>
      <w:r w:rsidRPr="00885199">
        <w:rPr>
          <w:rFonts w:eastAsia="Times New Roman"/>
          <w:sz w:val="24"/>
          <w:szCs w:val="24"/>
        </w:rPr>
        <w:t>para el supuesto de no cuestionamiento de lo decidido en sede administrativa constituye una novedad en el régimen de infortunio</w:t>
      </w:r>
      <w:r w:rsidRPr="00885199">
        <w:rPr>
          <w:rFonts w:eastAsia="Times New Roman"/>
          <w:sz w:val="24"/>
          <w:szCs w:val="24"/>
        </w:rPr>
        <w:t>s laborales establecido a partir de la sanción y promulgación de la Ley 24.557. En efecto en la etapa anterior a la sanción de la Ley 27.348 la CORTE SUPREMA DE JUSTICIA DE LA NACION había desestimado de alguna manera el carácter de “cosa juzgada” de lo oc</w:t>
      </w:r>
      <w:r w:rsidRPr="00885199">
        <w:rPr>
          <w:rFonts w:eastAsia="Times New Roman"/>
          <w:sz w:val="24"/>
          <w:szCs w:val="24"/>
        </w:rPr>
        <w:t xml:space="preserve">urrido en sede administrativa en el caso “LLOSCO” al desechar que el tránsito del trabajador por la instancia administrativa a los fines de percibir las reparaciones sistémicas de la LRT tuvieran la aptitud para afectar de alguna manera con la persecución </w:t>
      </w:r>
      <w:r w:rsidRPr="00885199">
        <w:rPr>
          <w:rFonts w:eastAsia="Times New Roman"/>
          <w:sz w:val="24"/>
          <w:szCs w:val="24"/>
        </w:rPr>
        <w:t xml:space="preserve">judicial de la reparación integral. </w:t>
      </w:r>
    </w:p>
    <w:p w14:paraId="00000010" w14:textId="77777777" w:rsidR="00EB2284" w:rsidRPr="00885199" w:rsidRDefault="00697DA4" w:rsidP="00885199">
      <w:pPr>
        <w:widowControl w:val="0"/>
        <w:spacing w:line="360" w:lineRule="auto"/>
        <w:ind w:right="844" w:firstLine="4"/>
        <w:jc w:val="both"/>
        <w:rPr>
          <w:rFonts w:eastAsia="Times New Roman"/>
          <w:sz w:val="24"/>
          <w:szCs w:val="24"/>
        </w:rPr>
      </w:pPr>
      <w:r w:rsidRPr="00885199">
        <w:rPr>
          <w:rFonts w:eastAsia="Times New Roman"/>
          <w:sz w:val="24"/>
          <w:szCs w:val="24"/>
        </w:rPr>
        <w:tab/>
        <w:t xml:space="preserve">Todo esto es dejado de lado por la reforma de la Ley 27.348 que establece no sólo el tránsito obligatorio por la instancia administrativa de las Comisiones Médicas Jurisdiccionales sino también el carácter de </w:t>
      </w:r>
      <w:r w:rsidRPr="00885199">
        <w:rPr>
          <w:rFonts w:eastAsia="Times New Roman"/>
          <w:b/>
          <w:sz w:val="24"/>
          <w:szCs w:val="24"/>
        </w:rPr>
        <w:t>cosa juzg</w:t>
      </w:r>
      <w:r w:rsidRPr="00885199">
        <w:rPr>
          <w:rFonts w:eastAsia="Times New Roman"/>
          <w:b/>
          <w:sz w:val="24"/>
          <w:szCs w:val="24"/>
        </w:rPr>
        <w:t xml:space="preserve">ada </w:t>
      </w:r>
      <w:r w:rsidRPr="00885199">
        <w:rPr>
          <w:rFonts w:eastAsia="Times New Roman"/>
          <w:sz w:val="24"/>
          <w:szCs w:val="24"/>
        </w:rPr>
        <w:t xml:space="preserve">de lo decidido en sede administrativa si no es cuestionado por la vía recursiva establecida en el artículo 2 de la Ley 27.348. </w:t>
      </w:r>
    </w:p>
    <w:p w14:paraId="00000011" w14:textId="77777777" w:rsidR="00EB2284" w:rsidRPr="00885199" w:rsidRDefault="00697DA4" w:rsidP="00885199">
      <w:pPr>
        <w:widowControl w:val="0"/>
        <w:spacing w:line="360" w:lineRule="auto"/>
        <w:ind w:right="844" w:firstLine="4"/>
        <w:jc w:val="both"/>
        <w:rPr>
          <w:rFonts w:eastAsia="Times New Roman"/>
          <w:sz w:val="24"/>
          <w:szCs w:val="24"/>
        </w:rPr>
      </w:pPr>
      <w:r w:rsidRPr="00885199">
        <w:rPr>
          <w:rFonts w:eastAsia="Times New Roman"/>
          <w:sz w:val="24"/>
          <w:szCs w:val="24"/>
        </w:rPr>
        <w:tab/>
        <w:t>La Resolución SRT Nro. 298/17 establece en su artículo 16 que el plazo para interponer el recurso contra lo decidido por la</w:t>
      </w:r>
      <w:r w:rsidRPr="00885199">
        <w:rPr>
          <w:rFonts w:eastAsia="Times New Roman"/>
          <w:sz w:val="24"/>
          <w:szCs w:val="24"/>
        </w:rPr>
        <w:t xml:space="preserve"> Comisión Médica Jurisdiccional (en rigor del Servicio de Homologación) es de 15 días hábiles administrativos. Entendemos que estamos en clara presencia de un exceso reglamentario lo que fulmina de inconstitucionalidad la disposición citada. Ello sin perju</w:t>
      </w:r>
      <w:r w:rsidRPr="00885199">
        <w:rPr>
          <w:rFonts w:eastAsia="Times New Roman"/>
          <w:sz w:val="24"/>
          <w:szCs w:val="24"/>
        </w:rPr>
        <w:t xml:space="preserve">icio de que viola el principio de tutela judicial efectiva, inconstitucionalidad </w:t>
      </w:r>
      <w:proofErr w:type="spellStart"/>
      <w:r w:rsidRPr="00885199">
        <w:rPr>
          <w:rFonts w:eastAsia="Times New Roman"/>
          <w:sz w:val="24"/>
          <w:szCs w:val="24"/>
        </w:rPr>
        <w:t>esta</w:t>
      </w:r>
      <w:proofErr w:type="spellEnd"/>
      <w:r w:rsidRPr="00885199">
        <w:rPr>
          <w:rFonts w:eastAsia="Times New Roman"/>
          <w:sz w:val="24"/>
          <w:szCs w:val="24"/>
        </w:rPr>
        <w:t xml:space="preserve"> especialmente agravada por tratarse de un trabajador accidentado en situación de vulnerabilidad. </w:t>
      </w:r>
      <w:r w:rsidRPr="00885199">
        <w:rPr>
          <w:rFonts w:eastAsia="Times New Roman"/>
          <w:sz w:val="24"/>
          <w:szCs w:val="24"/>
        </w:rPr>
        <w:tab/>
        <w:t>En este punto resulta necesario efectuar algunas precisiones al respecto</w:t>
      </w:r>
      <w:r w:rsidRPr="00885199">
        <w:rPr>
          <w:rFonts w:eastAsia="Times New Roman"/>
          <w:sz w:val="24"/>
          <w:szCs w:val="24"/>
        </w:rPr>
        <w:t xml:space="preserve"> acerca del concepto de </w:t>
      </w:r>
      <w:r w:rsidRPr="00885199">
        <w:rPr>
          <w:rFonts w:eastAsia="Times New Roman"/>
          <w:i/>
          <w:sz w:val="24"/>
          <w:szCs w:val="24"/>
        </w:rPr>
        <w:t xml:space="preserve">“cosa juzgada administrativa” </w:t>
      </w:r>
      <w:r w:rsidRPr="00885199">
        <w:rPr>
          <w:rFonts w:eastAsia="Times New Roman"/>
          <w:sz w:val="24"/>
          <w:szCs w:val="24"/>
        </w:rPr>
        <w:t xml:space="preserve">y de la </w:t>
      </w:r>
      <w:r w:rsidRPr="00885199">
        <w:rPr>
          <w:rFonts w:eastAsia="Times New Roman"/>
          <w:i/>
          <w:sz w:val="24"/>
          <w:szCs w:val="24"/>
        </w:rPr>
        <w:t xml:space="preserve">“cosa juzgada” </w:t>
      </w:r>
      <w:r w:rsidRPr="00885199">
        <w:rPr>
          <w:rFonts w:eastAsia="Times New Roman"/>
          <w:sz w:val="24"/>
          <w:szCs w:val="24"/>
        </w:rPr>
        <w:t xml:space="preserve">proveniente de una sentencia judicial. Hace ya muchísimos años la Corte Suprema de Justicia de la Nación viene diciendo que </w:t>
      </w:r>
      <w:r w:rsidRPr="00885199">
        <w:rPr>
          <w:rFonts w:eastAsia="Times New Roman"/>
          <w:i/>
          <w:sz w:val="24"/>
          <w:szCs w:val="24"/>
        </w:rPr>
        <w:t>“la cosa juzgada administrativa no tiene, en términos g</w:t>
      </w:r>
      <w:r w:rsidRPr="00885199">
        <w:rPr>
          <w:rFonts w:eastAsia="Times New Roman"/>
          <w:i/>
          <w:sz w:val="24"/>
          <w:szCs w:val="24"/>
        </w:rPr>
        <w:t xml:space="preserve">enerales, el mismo alcance que la judicial. El poder administrador puede volver sobre lo resuelto por él cuando, </w:t>
      </w:r>
      <w:r w:rsidRPr="00885199">
        <w:rPr>
          <w:rFonts w:eastAsia="Times New Roman"/>
          <w:i/>
          <w:sz w:val="24"/>
          <w:szCs w:val="24"/>
        </w:rPr>
        <w:lastRenderedPageBreak/>
        <w:t xml:space="preserve">sin perjuicio del derecho de los particulares, se trata de corregir sus propios errores” </w:t>
      </w:r>
      <w:r w:rsidRPr="00885199">
        <w:rPr>
          <w:rFonts w:eastAsia="Times New Roman"/>
          <w:sz w:val="24"/>
          <w:szCs w:val="24"/>
        </w:rPr>
        <w:t>(CSJN, año 1954, Val de Redrado, Clara c/ Instituto Na</w:t>
      </w:r>
      <w:r w:rsidRPr="00885199">
        <w:rPr>
          <w:rFonts w:eastAsia="Times New Roman"/>
          <w:sz w:val="24"/>
          <w:szCs w:val="24"/>
        </w:rPr>
        <w:t xml:space="preserve">cional de Previsión Social, Fallos: 228:186). En efecto </w:t>
      </w:r>
      <w:r w:rsidRPr="00885199">
        <w:rPr>
          <w:rFonts w:eastAsia="Times New Roman"/>
          <w:i/>
          <w:sz w:val="24"/>
          <w:szCs w:val="24"/>
        </w:rPr>
        <w:t>“la cosa juzgada administrativa no tiene, en términos generales, el mismo alcance que la judicial. El poder administrador puede volver sobre lo resuelto por él cuando, sin perjuicio del derecho de los</w:t>
      </w:r>
      <w:r w:rsidRPr="00885199">
        <w:rPr>
          <w:rFonts w:eastAsia="Times New Roman"/>
          <w:i/>
          <w:sz w:val="24"/>
          <w:szCs w:val="24"/>
        </w:rPr>
        <w:t xml:space="preserve"> particulares, se trata de corregir sus propios errores, doctrina ésta que tiene especial significación cuando se trata de hacer efectivo un régimen de asistencia social en el que al Poder Administrador encargado de aplicarlo le importa por sobre todo que </w:t>
      </w:r>
      <w:r w:rsidRPr="00885199">
        <w:rPr>
          <w:rFonts w:eastAsia="Times New Roman"/>
          <w:i/>
          <w:sz w:val="24"/>
          <w:szCs w:val="24"/>
        </w:rPr>
        <w:t xml:space="preserve">en ningún caso deje de llegar esa asistencia a aquellos para quienes se la ha establecido” </w:t>
      </w:r>
      <w:r w:rsidRPr="00885199">
        <w:rPr>
          <w:rFonts w:eastAsia="Times New Roman"/>
          <w:sz w:val="24"/>
          <w:szCs w:val="24"/>
        </w:rPr>
        <w:t>(CSJN, 1974; Villegas, Andrés Walter, Fallos: 289:185)</w:t>
      </w:r>
    </w:p>
    <w:p w14:paraId="00000012" w14:textId="77777777" w:rsidR="00EB2284" w:rsidRPr="00885199" w:rsidRDefault="00697DA4" w:rsidP="00885199">
      <w:pPr>
        <w:widowControl w:val="0"/>
        <w:spacing w:line="360" w:lineRule="auto"/>
        <w:ind w:right="844" w:firstLine="4"/>
        <w:jc w:val="both"/>
        <w:rPr>
          <w:rFonts w:eastAsia="Times New Roman"/>
          <w:b/>
          <w:sz w:val="24"/>
          <w:szCs w:val="24"/>
          <w:highlight w:val="white"/>
        </w:rPr>
      </w:pPr>
      <w:r w:rsidRPr="00885199">
        <w:rPr>
          <w:rFonts w:eastAsia="Times New Roman"/>
          <w:sz w:val="24"/>
          <w:szCs w:val="24"/>
        </w:rPr>
        <w:tab/>
        <w:t xml:space="preserve">Gordillo por su parte sostenía que </w:t>
      </w:r>
      <w:r w:rsidRPr="00885199">
        <w:rPr>
          <w:rFonts w:eastAsia="Times New Roman"/>
          <w:i/>
          <w:sz w:val="24"/>
          <w:szCs w:val="24"/>
        </w:rPr>
        <w:t>“la cosa juzgada en sentido estricto es solo la que se produce respecto de</w:t>
      </w:r>
      <w:r w:rsidRPr="00885199">
        <w:rPr>
          <w:rFonts w:eastAsia="Times New Roman"/>
          <w:i/>
          <w:sz w:val="24"/>
          <w:szCs w:val="24"/>
        </w:rPr>
        <w:t xml:space="preserve"> las sentencias judiciales. Una sentencia judicial que hace cosa juzgada no es ya impugnable por recurso o acción alguna y no puede ser modificada por otro tribunal; la cosa juzgada administrativa, en cambio, implica tan solo una limitación a que ´la misma</w:t>
      </w:r>
      <w:r w:rsidRPr="00885199">
        <w:rPr>
          <w:rFonts w:eastAsia="Times New Roman"/>
          <w:i/>
          <w:sz w:val="24"/>
          <w:szCs w:val="24"/>
        </w:rPr>
        <w:t xml:space="preserve"> administración´ revoque, modifique o sustituya el acto y no impide que el acto sea impugnado y eventualmente anulado en la justicia … Por lo demás, la administración puede siempre revocar o modificar el acto si con ello beneficia al interesado, lo que no </w:t>
      </w:r>
      <w:r w:rsidRPr="00885199">
        <w:rPr>
          <w:rFonts w:eastAsia="Times New Roman"/>
          <w:i/>
          <w:sz w:val="24"/>
          <w:szCs w:val="24"/>
        </w:rPr>
        <w:t xml:space="preserve">ocurre con la cosa juzgada judicial. La llamada cosa juzgada administrativa, pues, ni es definitiva como la judicial, ni es tampoco inamovible, inmutable o inextinguible” </w:t>
      </w:r>
      <w:r w:rsidRPr="00885199">
        <w:rPr>
          <w:rFonts w:eastAsia="Times New Roman"/>
          <w:sz w:val="24"/>
          <w:szCs w:val="24"/>
          <w:highlight w:val="white"/>
        </w:rPr>
        <w:t>(GORDILLO, TRATADO DE DERECHO ADMINISTRATIVO, VI 3)</w:t>
      </w:r>
      <w:r w:rsidRPr="00885199">
        <w:rPr>
          <w:rFonts w:eastAsia="Times New Roman"/>
          <w:b/>
          <w:sz w:val="24"/>
          <w:szCs w:val="24"/>
          <w:highlight w:val="white"/>
        </w:rPr>
        <w:t xml:space="preserve"> </w:t>
      </w:r>
    </w:p>
    <w:p w14:paraId="00000013" w14:textId="77777777" w:rsidR="00EB2284" w:rsidRPr="00885199" w:rsidRDefault="00697DA4" w:rsidP="00885199">
      <w:pPr>
        <w:widowControl w:val="0"/>
        <w:spacing w:line="360" w:lineRule="auto"/>
        <w:ind w:right="844" w:firstLine="4"/>
        <w:jc w:val="both"/>
        <w:rPr>
          <w:rFonts w:eastAsia="Times New Roman"/>
          <w:sz w:val="24"/>
          <w:szCs w:val="24"/>
        </w:rPr>
      </w:pPr>
      <w:r w:rsidRPr="00885199">
        <w:rPr>
          <w:rFonts w:eastAsia="Times New Roman"/>
          <w:b/>
          <w:sz w:val="24"/>
          <w:szCs w:val="24"/>
        </w:rPr>
        <w:tab/>
      </w:r>
      <w:r w:rsidRPr="00885199">
        <w:rPr>
          <w:rFonts w:eastAsia="Times New Roman"/>
          <w:sz w:val="24"/>
          <w:szCs w:val="24"/>
        </w:rPr>
        <w:t>La reciente reforma introducida</w:t>
      </w:r>
      <w:r w:rsidRPr="00885199">
        <w:rPr>
          <w:rFonts w:eastAsia="Times New Roman"/>
          <w:sz w:val="24"/>
          <w:szCs w:val="24"/>
        </w:rPr>
        <w:t xml:space="preserve"> por la Ley Bases a la Ley 19.549 admite que los actos administrativos que sean nulos de nulidad absoluta son considerados irregulares y deben ser revocados en sede administrativa por </w:t>
      </w:r>
      <w:r w:rsidRPr="00885199">
        <w:rPr>
          <w:rFonts w:eastAsia="Times New Roman"/>
          <w:i/>
          <w:sz w:val="24"/>
          <w:szCs w:val="24"/>
        </w:rPr>
        <w:t xml:space="preserve">“razones de ilegitimidad” </w:t>
      </w:r>
      <w:r w:rsidRPr="00885199">
        <w:rPr>
          <w:rFonts w:eastAsia="Times New Roman"/>
          <w:sz w:val="24"/>
          <w:szCs w:val="24"/>
        </w:rPr>
        <w:t>pero si estuviera notificado y ya hubiera gene</w:t>
      </w:r>
      <w:r w:rsidRPr="00885199">
        <w:rPr>
          <w:rFonts w:eastAsia="Times New Roman"/>
          <w:sz w:val="24"/>
          <w:szCs w:val="24"/>
        </w:rPr>
        <w:t xml:space="preserve">rado derechos subjetivos la administración debe recurrir a la sede judicial para que se declare su nulidad, estando vedada en tales casos la revocación del acto en sede administrativa (conf. art. 17, Ley 19.549 según la Reforma de la Ley 27.742). </w:t>
      </w:r>
    </w:p>
    <w:p w14:paraId="00000014" w14:textId="77777777" w:rsidR="00EB2284" w:rsidRPr="00885199" w:rsidRDefault="00697DA4" w:rsidP="00885199">
      <w:pPr>
        <w:widowControl w:val="0"/>
        <w:spacing w:line="360" w:lineRule="auto"/>
        <w:ind w:right="844"/>
        <w:jc w:val="both"/>
        <w:rPr>
          <w:rFonts w:eastAsia="Times New Roman"/>
          <w:sz w:val="24"/>
          <w:szCs w:val="24"/>
        </w:rPr>
      </w:pPr>
      <w:r w:rsidRPr="00885199">
        <w:rPr>
          <w:rFonts w:eastAsia="Times New Roman"/>
          <w:sz w:val="24"/>
          <w:szCs w:val="24"/>
        </w:rPr>
        <w:t xml:space="preserve"> </w:t>
      </w:r>
      <w:r w:rsidRPr="00885199">
        <w:rPr>
          <w:rFonts w:eastAsia="Times New Roman"/>
          <w:sz w:val="24"/>
          <w:szCs w:val="24"/>
        </w:rPr>
        <w:tab/>
      </w:r>
      <w:r w:rsidRPr="00885199">
        <w:rPr>
          <w:rFonts w:eastAsia="Times New Roman"/>
          <w:sz w:val="24"/>
          <w:szCs w:val="24"/>
        </w:rPr>
        <w:t xml:space="preserve">Como se puede advertir por lo dicho que la cosa juzgada administrativa no tiene los mismos alcances que la cosa juzgada judicial y en definitiva impone restricciones para la Administración pero no puede </w:t>
      </w:r>
      <w:r w:rsidRPr="00885199">
        <w:rPr>
          <w:rFonts w:eastAsia="Times New Roman"/>
          <w:sz w:val="24"/>
          <w:szCs w:val="24"/>
        </w:rPr>
        <w:lastRenderedPageBreak/>
        <w:t>proyectarse a la sede judicial, máxime cuando ello im</w:t>
      </w:r>
      <w:r w:rsidRPr="00885199">
        <w:rPr>
          <w:rFonts w:eastAsia="Times New Roman"/>
          <w:sz w:val="24"/>
          <w:szCs w:val="24"/>
        </w:rPr>
        <w:t>porte en definitiva negar el “</w:t>
      </w:r>
      <w:r w:rsidRPr="00885199">
        <w:rPr>
          <w:rFonts w:eastAsia="Times New Roman"/>
          <w:i/>
          <w:sz w:val="24"/>
          <w:szCs w:val="24"/>
        </w:rPr>
        <w:t xml:space="preserve">acceso efectivo a la justicia de las personas en condición de vulnerabilidad, sin discriminación alguna” </w:t>
      </w:r>
      <w:r w:rsidRPr="00885199">
        <w:rPr>
          <w:rFonts w:eastAsia="Times New Roman"/>
          <w:sz w:val="24"/>
          <w:szCs w:val="24"/>
        </w:rPr>
        <w:t xml:space="preserve">(conf. Regla 1 de las “REGLAS DE BRASILIA SOBRE ACCESO A LA JUSTICIA DE LAS PERSONAS EN CONDICIONES DE VULNERABILIDAD”). </w:t>
      </w:r>
    </w:p>
    <w:p w14:paraId="00000015" w14:textId="77777777" w:rsidR="00EB2284" w:rsidRPr="00885199" w:rsidRDefault="00697DA4" w:rsidP="00885199">
      <w:pPr>
        <w:widowControl w:val="0"/>
        <w:spacing w:line="360" w:lineRule="auto"/>
        <w:ind w:right="844"/>
        <w:jc w:val="both"/>
        <w:rPr>
          <w:rFonts w:eastAsia="Times New Roman"/>
          <w:i/>
          <w:sz w:val="24"/>
          <w:szCs w:val="24"/>
        </w:rPr>
      </w:pPr>
      <w:r w:rsidRPr="00885199">
        <w:rPr>
          <w:rFonts w:eastAsia="Times New Roman"/>
          <w:sz w:val="24"/>
          <w:szCs w:val="24"/>
        </w:rPr>
        <w:t xml:space="preserve"> </w:t>
      </w:r>
      <w:r w:rsidRPr="00885199">
        <w:rPr>
          <w:rFonts w:eastAsia="Times New Roman"/>
          <w:sz w:val="24"/>
          <w:szCs w:val="24"/>
        </w:rPr>
        <w:tab/>
        <w:t xml:space="preserve">Más aún la CORTE SUPREMA DE JUSTICIA DE LA NACION tiene dicho que el concepto de </w:t>
      </w:r>
      <w:r w:rsidRPr="00885199">
        <w:rPr>
          <w:rFonts w:eastAsia="Times New Roman"/>
          <w:i/>
          <w:sz w:val="24"/>
          <w:szCs w:val="24"/>
        </w:rPr>
        <w:t xml:space="preserve">“cosa juzgada administrativa” </w:t>
      </w:r>
      <w:r w:rsidRPr="00885199">
        <w:rPr>
          <w:rFonts w:eastAsia="Times New Roman"/>
          <w:sz w:val="24"/>
          <w:szCs w:val="24"/>
        </w:rPr>
        <w:t xml:space="preserve">tal como fuera receptado en el ya citado caso “CARMAN DE CANTON” debe ser interpretado como una forma de tutela para el administrado (en este </w:t>
      </w:r>
      <w:r w:rsidRPr="00885199">
        <w:rPr>
          <w:rFonts w:eastAsia="Times New Roman"/>
          <w:sz w:val="24"/>
          <w:szCs w:val="24"/>
        </w:rPr>
        <w:t xml:space="preserve">caso el trabajador víctima de un infortunio laboral) pero sin que ello implique equiparar este concepto al de </w:t>
      </w:r>
      <w:r w:rsidRPr="00885199">
        <w:rPr>
          <w:rFonts w:eastAsia="Times New Roman"/>
          <w:i/>
          <w:sz w:val="24"/>
          <w:szCs w:val="24"/>
        </w:rPr>
        <w:t xml:space="preserve">“cosa juzgada judicial”. </w:t>
      </w:r>
      <w:r w:rsidRPr="00885199">
        <w:rPr>
          <w:rFonts w:eastAsia="Times New Roman"/>
          <w:sz w:val="24"/>
          <w:szCs w:val="24"/>
        </w:rPr>
        <w:t>Así en el caso “COMETARSA” nuestro más Alto Tribunal expresó que “</w:t>
      </w:r>
      <w:r w:rsidRPr="00885199">
        <w:rPr>
          <w:rFonts w:eastAsia="Times New Roman"/>
          <w:i/>
          <w:sz w:val="24"/>
          <w:szCs w:val="24"/>
        </w:rPr>
        <w:t>en la llamada cosa juzgada administrativa ha de verse u</w:t>
      </w:r>
      <w:r w:rsidRPr="00885199">
        <w:rPr>
          <w:rFonts w:eastAsia="Times New Roman"/>
          <w:i/>
          <w:sz w:val="24"/>
          <w:szCs w:val="24"/>
        </w:rPr>
        <w:t xml:space="preserve">na forma de tutela contra la </w:t>
      </w:r>
      <w:r w:rsidRPr="00885199">
        <w:rPr>
          <w:rFonts w:eastAsia="Times New Roman"/>
          <w:b/>
          <w:i/>
          <w:sz w:val="24"/>
          <w:szCs w:val="24"/>
        </w:rPr>
        <w:t xml:space="preserve">alteración arbitraria de la administración  y en perjuicio del titular del derecho reconocido </w:t>
      </w:r>
      <w:r w:rsidRPr="00885199">
        <w:rPr>
          <w:rFonts w:eastAsia="Times New Roman"/>
          <w:i/>
          <w:sz w:val="24"/>
          <w:szCs w:val="24"/>
        </w:rPr>
        <w:t xml:space="preserve">del ya acordado de manera regular, en materia reglada y sin grave error de derecho” </w:t>
      </w:r>
      <w:r w:rsidRPr="00885199">
        <w:rPr>
          <w:rFonts w:eastAsia="Times New Roman"/>
          <w:sz w:val="24"/>
          <w:szCs w:val="24"/>
        </w:rPr>
        <w:t xml:space="preserve">(CSJN </w:t>
      </w:r>
      <w:proofErr w:type="spellStart"/>
      <w:r w:rsidRPr="00885199">
        <w:rPr>
          <w:rFonts w:eastAsia="Times New Roman"/>
          <w:sz w:val="24"/>
          <w:szCs w:val="24"/>
        </w:rPr>
        <w:t>sent</w:t>
      </w:r>
      <w:proofErr w:type="spellEnd"/>
      <w:r w:rsidRPr="00885199">
        <w:rPr>
          <w:rFonts w:eastAsia="Times New Roman"/>
          <w:sz w:val="24"/>
          <w:szCs w:val="24"/>
        </w:rPr>
        <w:t>. 11/5/66 en autos “COMETARSA S.A.I.C. C/BANCO CENTRAL S/COBRO DE PESOS”, Fallos 264:314).</w:t>
      </w:r>
    </w:p>
    <w:p w14:paraId="00000016" w14:textId="77777777" w:rsidR="00EB2284" w:rsidRPr="00885199" w:rsidRDefault="00697DA4" w:rsidP="00885199">
      <w:pPr>
        <w:widowControl w:val="0"/>
        <w:spacing w:line="360" w:lineRule="auto"/>
        <w:ind w:right="844" w:firstLine="4"/>
        <w:jc w:val="both"/>
        <w:rPr>
          <w:rFonts w:eastAsia="Times New Roman"/>
          <w:sz w:val="24"/>
          <w:szCs w:val="24"/>
        </w:rPr>
      </w:pPr>
      <w:r w:rsidRPr="00885199">
        <w:rPr>
          <w:rFonts w:eastAsia="Times New Roman"/>
          <w:b/>
          <w:sz w:val="24"/>
          <w:szCs w:val="24"/>
        </w:rPr>
        <w:tab/>
      </w:r>
      <w:r w:rsidRPr="00885199">
        <w:rPr>
          <w:rFonts w:eastAsia="Times New Roman"/>
          <w:sz w:val="24"/>
          <w:szCs w:val="24"/>
        </w:rPr>
        <w:t>En línea con lo expuesto la SALA VI de la CAMARA NACIONAL DE APELACIONES DEL TRABAJO rechazó la invocación de la cosa juzgada administrativa en un caso en</w:t>
      </w:r>
      <w:r w:rsidRPr="00885199">
        <w:rPr>
          <w:rFonts w:eastAsia="Times New Roman"/>
          <w:sz w:val="24"/>
          <w:szCs w:val="24"/>
        </w:rPr>
        <w:t xml:space="preserve"> el cual la actora había transitado el procedimiento administrativo impuesto en los artículos 1 y siguientes de la Ley 27.348 sin que hubiera cuestionado en esa instancia lo resuelto por la Comisión Médica NRO. 10. Para así decidir estableció que </w:t>
      </w:r>
      <w:proofErr w:type="spellStart"/>
      <w:r w:rsidRPr="00885199">
        <w:rPr>
          <w:rFonts w:eastAsia="Times New Roman"/>
          <w:sz w:val="24"/>
          <w:szCs w:val="24"/>
        </w:rPr>
        <w:t>estrictu</w:t>
      </w:r>
      <w:proofErr w:type="spellEnd"/>
      <w:r w:rsidRPr="00885199">
        <w:rPr>
          <w:rFonts w:eastAsia="Times New Roman"/>
          <w:sz w:val="24"/>
          <w:szCs w:val="24"/>
        </w:rPr>
        <w:t xml:space="preserve"> </w:t>
      </w:r>
      <w:r w:rsidRPr="00885199">
        <w:rPr>
          <w:rFonts w:eastAsia="Times New Roman"/>
          <w:sz w:val="24"/>
          <w:szCs w:val="24"/>
        </w:rPr>
        <w:t>sensu sólo hay cosa juzgada cuando se trata de una sentencia y no cuando mediare un acto administrativo. Así expresa que sólo la cosa juzgada judicial es de carácter absoluto en tanto que la denominada cosa juzgada administrativa sólo tiene efectos en la ó</w:t>
      </w:r>
      <w:r w:rsidRPr="00885199">
        <w:rPr>
          <w:rFonts w:eastAsia="Times New Roman"/>
          <w:sz w:val="24"/>
          <w:szCs w:val="24"/>
        </w:rPr>
        <w:t xml:space="preserve">rbita administrativa pero no puede impedir la intervención jurisdiccional (CNAT SALA VI, </w:t>
      </w:r>
      <w:proofErr w:type="spellStart"/>
      <w:r w:rsidRPr="00885199">
        <w:rPr>
          <w:rFonts w:eastAsia="Times New Roman"/>
          <w:sz w:val="24"/>
          <w:szCs w:val="24"/>
        </w:rPr>
        <w:t>sent</w:t>
      </w:r>
      <w:proofErr w:type="spellEnd"/>
      <w:r w:rsidRPr="00885199">
        <w:rPr>
          <w:rFonts w:eastAsia="Times New Roman"/>
          <w:sz w:val="24"/>
          <w:szCs w:val="24"/>
        </w:rPr>
        <w:t xml:space="preserve">. 28/03/19 en autos “LEIVA, SUSANA C/GALENO ART S.A. S/ACCIDENTE-LEY ESPECIAL”). </w:t>
      </w:r>
    </w:p>
    <w:p w14:paraId="00000017" w14:textId="77777777" w:rsidR="00EB2284" w:rsidRPr="00885199" w:rsidRDefault="00697DA4" w:rsidP="00885199">
      <w:pPr>
        <w:widowControl w:val="0"/>
        <w:spacing w:line="360" w:lineRule="auto"/>
        <w:ind w:right="844" w:firstLine="4"/>
        <w:jc w:val="both"/>
        <w:rPr>
          <w:rFonts w:eastAsia="Times New Roman"/>
          <w:sz w:val="24"/>
          <w:szCs w:val="24"/>
        </w:rPr>
      </w:pPr>
      <w:r w:rsidRPr="00885199">
        <w:rPr>
          <w:rFonts w:eastAsia="Times New Roman"/>
          <w:sz w:val="24"/>
          <w:szCs w:val="24"/>
        </w:rPr>
        <w:tab/>
      </w:r>
    </w:p>
    <w:p w14:paraId="00000018" w14:textId="77777777" w:rsidR="00EB2284" w:rsidRPr="00885199" w:rsidRDefault="00697DA4" w:rsidP="00885199">
      <w:pPr>
        <w:widowControl w:val="0"/>
        <w:spacing w:line="360" w:lineRule="auto"/>
        <w:ind w:right="844" w:firstLine="4"/>
        <w:jc w:val="both"/>
        <w:rPr>
          <w:rFonts w:eastAsia="Times New Roman"/>
          <w:b/>
          <w:sz w:val="24"/>
          <w:szCs w:val="24"/>
        </w:rPr>
      </w:pPr>
      <w:r w:rsidRPr="00885199">
        <w:rPr>
          <w:rFonts w:eastAsia="Times New Roman"/>
          <w:sz w:val="24"/>
          <w:szCs w:val="24"/>
        </w:rPr>
        <w:tab/>
      </w:r>
      <w:r w:rsidRPr="00885199">
        <w:rPr>
          <w:rFonts w:eastAsia="Times New Roman"/>
          <w:b/>
          <w:sz w:val="24"/>
          <w:szCs w:val="24"/>
        </w:rPr>
        <w:t>III) Tratamiento diferenciado a los 2 supuestos de cosa juzgada administrativa</w:t>
      </w:r>
      <w:r w:rsidRPr="00885199">
        <w:rPr>
          <w:rFonts w:eastAsia="Times New Roman"/>
          <w:b/>
          <w:sz w:val="24"/>
          <w:szCs w:val="24"/>
        </w:rPr>
        <w:t xml:space="preserve">. La búsqueda de un tratamiento compatible con el derecho constitucional a la tutela judicial efectiva. </w:t>
      </w:r>
    </w:p>
    <w:p w14:paraId="00000019" w14:textId="77777777" w:rsidR="00EB2284" w:rsidRPr="00885199" w:rsidRDefault="00697DA4" w:rsidP="00885199">
      <w:pPr>
        <w:widowControl w:val="0"/>
        <w:spacing w:line="360" w:lineRule="auto"/>
        <w:ind w:right="844"/>
        <w:jc w:val="both"/>
        <w:rPr>
          <w:rFonts w:eastAsia="Times New Roman"/>
          <w:sz w:val="24"/>
          <w:szCs w:val="24"/>
        </w:rPr>
      </w:pPr>
      <w:r w:rsidRPr="00885199">
        <w:rPr>
          <w:rFonts w:eastAsia="Times New Roman"/>
          <w:b/>
          <w:sz w:val="24"/>
          <w:szCs w:val="24"/>
        </w:rPr>
        <w:lastRenderedPageBreak/>
        <w:t xml:space="preserve"> </w:t>
      </w:r>
      <w:r w:rsidRPr="00885199">
        <w:rPr>
          <w:rFonts w:eastAsia="Times New Roman"/>
          <w:b/>
          <w:sz w:val="24"/>
          <w:szCs w:val="24"/>
        </w:rPr>
        <w:tab/>
      </w:r>
      <w:r w:rsidRPr="00885199">
        <w:rPr>
          <w:rFonts w:eastAsia="Times New Roman"/>
          <w:sz w:val="24"/>
          <w:szCs w:val="24"/>
        </w:rPr>
        <w:t xml:space="preserve">A esta altura no podemos soslayar que no puede dárseles a los 2 supuestos de cosa juzgada idéntico tratamiento cuando claramente se trata de 2 casos </w:t>
      </w:r>
      <w:r w:rsidRPr="00885199">
        <w:rPr>
          <w:rFonts w:eastAsia="Times New Roman"/>
          <w:sz w:val="24"/>
          <w:szCs w:val="24"/>
        </w:rPr>
        <w:t xml:space="preserve">claramente diferenciados y así surge de la jurisprudencia existente generada hasta la fecha. En efecto no es lo mismo el efecto de </w:t>
      </w:r>
      <w:r w:rsidRPr="00885199">
        <w:rPr>
          <w:rFonts w:eastAsia="Times New Roman"/>
          <w:i/>
          <w:sz w:val="24"/>
          <w:szCs w:val="24"/>
        </w:rPr>
        <w:t>“cosa juzgada administrativa</w:t>
      </w:r>
      <w:r w:rsidRPr="00885199">
        <w:rPr>
          <w:rFonts w:eastAsia="Times New Roman"/>
          <w:sz w:val="24"/>
          <w:szCs w:val="24"/>
        </w:rPr>
        <w:t xml:space="preserve">” que el artículo 2 de la Ley 27.348 pretende darle a la falta de cuestionamiento de lo resuelto </w:t>
      </w:r>
      <w:r w:rsidRPr="00885199">
        <w:rPr>
          <w:rFonts w:eastAsia="Times New Roman"/>
          <w:sz w:val="24"/>
          <w:szCs w:val="24"/>
        </w:rPr>
        <w:t>en sede administrativa en los tiempos fijados por la reglamentación que el caso en el cual el trabajador haya alcanzado en esa vía a un acuerdo homologado en dicha instancia administrativa. En este último supuesto donde hay un acto expreso del trabajador c</w:t>
      </w:r>
      <w:r w:rsidRPr="00885199">
        <w:rPr>
          <w:rFonts w:eastAsia="Times New Roman"/>
          <w:sz w:val="24"/>
          <w:szCs w:val="24"/>
        </w:rPr>
        <w:t>onsintiendo y acordando el monto de una indemnización determinada con una posterior homologación de la autoridad administrativa recobra especial relevancia lo resuelto por el pleno de la CNAT en el ya aludido caso “CORUJO”.  Es interesante señalar al respe</w:t>
      </w:r>
      <w:r w:rsidRPr="00885199">
        <w:rPr>
          <w:rFonts w:eastAsia="Times New Roman"/>
          <w:sz w:val="24"/>
          <w:szCs w:val="24"/>
        </w:rPr>
        <w:t>cto que la SUPREMA CORTE DE JUSTICIA DE LA PROVINCIA DE BUENOS -luego de diferenciar entre estos 2 supuestos (</w:t>
      </w:r>
      <w:r w:rsidRPr="00885199">
        <w:rPr>
          <w:rFonts w:eastAsia="Times New Roman"/>
          <w:i/>
          <w:sz w:val="24"/>
          <w:szCs w:val="24"/>
        </w:rPr>
        <w:t xml:space="preserve">“homologación del acuerdo arribado en la instancia administrativa por parte de la autoridad competente” </w:t>
      </w:r>
      <w:r w:rsidRPr="00885199">
        <w:rPr>
          <w:rFonts w:eastAsia="Times New Roman"/>
          <w:sz w:val="24"/>
          <w:szCs w:val="24"/>
        </w:rPr>
        <w:t xml:space="preserve">y </w:t>
      </w:r>
      <w:r w:rsidRPr="00885199">
        <w:rPr>
          <w:rFonts w:eastAsia="Times New Roman"/>
          <w:i/>
          <w:sz w:val="24"/>
          <w:szCs w:val="24"/>
        </w:rPr>
        <w:t>el no cuestionamiento por la vía procedi</w:t>
      </w:r>
      <w:r w:rsidRPr="00885199">
        <w:rPr>
          <w:rFonts w:eastAsia="Times New Roman"/>
          <w:i/>
          <w:sz w:val="24"/>
          <w:szCs w:val="24"/>
        </w:rPr>
        <w:t>mental correspondiente a los fines de “procurar la revisión de las decisiones de las comisiones médicas”</w:t>
      </w:r>
      <w:r w:rsidRPr="00885199">
        <w:rPr>
          <w:rFonts w:eastAsia="Times New Roman"/>
          <w:sz w:val="24"/>
          <w:szCs w:val="24"/>
        </w:rPr>
        <w:t>)- entendió que cuando mediare un acuerdo conciliatorio homologado en el marco del procedimiento establecido y normado por la Ley 27.348 sí había cosa j</w:t>
      </w:r>
      <w:r w:rsidRPr="00885199">
        <w:rPr>
          <w:rFonts w:eastAsia="Times New Roman"/>
          <w:sz w:val="24"/>
          <w:szCs w:val="24"/>
        </w:rPr>
        <w:t xml:space="preserve">uzgada administrativa (SCBA, </w:t>
      </w:r>
      <w:proofErr w:type="spellStart"/>
      <w:r w:rsidRPr="00885199">
        <w:rPr>
          <w:rFonts w:eastAsia="Times New Roman"/>
          <w:sz w:val="24"/>
          <w:szCs w:val="24"/>
        </w:rPr>
        <w:t>sent</w:t>
      </w:r>
      <w:proofErr w:type="spellEnd"/>
      <w:r w:rsidRPr="00885199">
        <w:rPr>
          <w:rFonts w:eastAsia="Times New Roman"/>
          <w:sz w:val="24"/>
          <w:szCs w:val="24"/>
        </w:rPr>
        <w:t>. 27/2/24 in re “LESCANO, FEDERICO EMANUEL C/LA SEGUNDA ART S.A. S/ACCIDENTE DE TRABAJO - ESPECIAL). En el mismo sentido la SALA V de la CAMARA NACIONAL DE APELACIONES del TRABAJO entendió que si se trataba de un acuerdo al</w:t>
      </w:r>
      <w:r w:rsidRPr="00885199">
        <w:rPr>
          <w:rFonts w:eastAsia="Times New Roman"/>
          <w:sz w:val="24"/>
          <w:szCs w:val="24"/>
        </w:rPr>
        <w:t xml:space="preserve">canzado en la órbita administrativa en el ámbito del procedimiento reglado por la Ley 27.348 y homologado por el Titular del Servicio de Homologación tiene efecto de </w:t>
      </w:r>
      <w:r w:rsidRPr="00885199">
        <w:rPr>
          <w:rFonts w:eastAsia="Times New Roman"/>
          <w:i/>
          <w:sz w:val="24"/>
          <w:szCs w:val="24"/>
        </w:rPr>
        <w:t xml:space="preserve">cosa juzgada </w:t>
      </w:r>
      <w:r w:rsidRPr="00885199">
        <w:rPr>
          <w:rFonts w:eastAsia="Times New Roman"/>
          <w:sz w:val="24"/>
          <w:szCs w:val="24"/>
        </w:rPr>
        <w:t xml:space="preserve">pudiendo sólo </w:t>
      </w:r>
      <w:proofErr w:type="spellStart"/>
      <w:r w:rsidRPr="00885199">
        <w:rPr>
          <w:rFonts w:eastAsia="Times New Roman"/>
          <w:sz w:val="24"/>
          <w:szCs w:val="24"/>
        </w:rPr>
        <w:t>privarselo</w:t>
      </w:r>
      <w:proofErr w:type="spellEnd"/>
      <w:r w:rsidRPr="00885199">
        <w:rPr>
          <w:rFonts w:eastAsia="Times New Roman"/>
          <w:sz w:val="24"/>
          <w:szCs w:val="24"/>
        </w:rPr>
        <w:t xml:space="preserve"> de validez cuando se hubieran conculcado derechos in</w:t>
      </w:r>
      <w:r w:rsidRPr="00885199">
        <w:rPr>
          <w:rFonts w:eastAsia="Times New Roman"/>
          <w:sz w:val="24"/>
          <w:szCs w:val="24"/>
        </w:rPr>
        <w:t xml:space="preserve">disponibles para el trabajador o hubieran existido vicios del consentimiento, encontrándose la prueba de ello a cargo del trabajador (conf. art. 377 CPCCN) (CNAT SALA V, </w:t>
      </w:r>
      <w:proofErr w:type="spellStart"/>
      <w:r w:rsidRPr="00885199">
        <w:rPr>
          <w:rFonts w:eastAsia="Times New Roman"/>
          <w:sz w:val="24"/>
          <w:szCs w:val="24"/>
        </w:rPr>
        <w:t>sent</w:t>
      </w:r>
      <w:proofErr w:type="spellEnd"/>
      <w:r w:rsidRPr="00885199">
        <w:rPr>
          <w:rFonts w:eastAsia="Times New Roman"/>
          <w:sz w:val="24"/>
          <w:szCs w:val="24"/>
        </w:rPr>
        <w:t>. 21/09/23 en autos “PEREZ, LUIS ALBERTO C/PROVINCIA ART S.A. S/ACCIDENTE - LEY ES</w:t>
      </w:r>
      <w:r w:rsidRPr="00885199">
        <w:rPr>
          <w:rFonts w:eastAsia="Times New Roman"/>
          <w:sz w:val="24"/>
          <w:szCs w:val="24"/>
        </w:rPr>
        <w:t>PECIAL”).</w:t>
      </w:r>
    </w:p>
    <w:p w14:paraId="0000001A" w14:textId="77777777" w:rsidR="00EB2284" w:rsidRPr="00885199" w:rsidRDefault="00697DA4" w:rsidP="00885199">
      <w:pPr>
        <w:widowControl w:val="0"/>
        <w:spacing w:line="360" w:lineRule="auto"/>
        <w:ind w:right="844"/>
        <w:jc w:val="both"/>
        <w:rPr>
          <w:rFonts w:eastAsia="Times New Roman"/>
          <w:i/>
          <w:sz w:val="24"/>
          <w:szCs w:val="24"/>
        </w:rPr>
      </w:pPr>
      <w:r w:rsidRPr="00885199">
        <w:rPr>
          <w:rFonts w:eastAsia="Times New Roman"/>
          <w:sz w:val="24"/>
          <w:szCs w:val="24"/>
        </w:rPr>
        <w:t xml:space="preserve"> </w:t>
      </w:r>
      <w:r w:rsidRPr="00885199">
        <w:rPr>
          <w:rFonts w:eastAsia="Times New Roman"/>
          <w:sz w:val="24"/>
          <w:szCs w:val="24"/>
        </w:rPr>
        <w:tab/>
      </w:r>
      <w:r w:rsidRPr="00885199">
        <w:rPr>
          <w:rFonts w:eastAsia="Times New Roman"/>
          <w:sz w:val="24"/>
          <w:szCs w:val="24"/>
        </w:rPr>
        <w:tab/>
        <w:t xml:space="preserve">En cambio en los casos de falta de cuestionamiento en sede administrativa en los tiempos que arbitraria (e inconstitucionalmente) fijó el </w:t>
      </w:r>
      <w:r w:rsidRPr="00885199">
        <w:rPr>
          <w:rFonts w:eastAsia="Times New Roman"/>
          <w:sz w:val="24"/>
          <w:szCs w:val="24"/>
        </w:rPr>
        <w:lastRenderedPageBreak/>
        <w:t>artículo 16 de la Resolución Nro. 298/16 de la SRT) la clausura de la vía judicial del trabajador debe se</w:t>
      </w:r>
      <w:r w:rsidRPr="00885199">
        <w:rPr>
          <w:rFonts w:eastAsia="Times New Roman"/>
          <w:sz w:val="24"/>
          <w:szCs w:val="24"/>
        </w:rPr>
        <w:t xml:space="preserve">r analizada con criterio restrictivo para evitar la conculcación del derecho a la tutela judicial efectiva consagrado en el artículo 8.1 de la CONVENCION AMERICANA DE DERECHOS HUMANOS.   </w:t>
      </w:r>
      <w:r w:rsidRPr="00885199">
        <w:rPr>
          <w:rFonts w:eastAsia="Times New Roman"/>
          <w:i/>
          <w:sz w:val="24"/>
          <w:szCs w:val="24"/>
        </w:rPr>
        <w:t xml:space="preserve"> </w:t>
      </w:r>
    </w:p>
    <w:p w14:paraId="0000001B" w14:textId="77777777" w:rsidR="00EB2284" w:rsidRDefault="00EB2284"/>
    <w:p w14:paraId="0000001C" w14:textId="77777777" w:rsidR="00EB2284" w:rsidRDefault="00EB2284"/>
    <w:p w14:paraId="0000001D" w14:textId="77777777" w:rsidR="00EB2284" w:rsidRDefault="00EB2284"/>
    <w:sectPr w:rsidR="00EB228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C57AA" w14:textId="77777777" w:rsidR="00697DA4" w:rsidRDefault="00697DA4">
      <w:pPr>
        <w:spacing w:line="240" w:lineRule="auto"/>
      </w:pPr>
      <w:r>
        <w:separator/>
      </w:r>
    </w:p>
  </w:endnote>
  <w:endnote w:type="continuationSeparator" w:id="0">
    <w:p w14:paraId="22BEDC0E" w14:textId="77777777" w:rsidR="00697DA4" w:rsidRDefault="00697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6792856-4B14-4CC6-98B1-3CC4DD9AC0CC}"/>
  </w:font>
  <w:font w:name="Cambria">
    <w:panose1 w:val="02040503050406030204"/>
    <w:charset w:val="00"/>
    <w:family w:val="roman"/>
    <w:pitch w:val="variable"/>
    <w:sig w:usb0="E00006FF" w:usb1="420024FF" w:usb2="02000000" w:usb3="00000000" w:csb0="0000019F" w:csb1="00000000"/>
    <w:embedRegular r:id="rId2" w:fontKey="{5E7C77C5-87C1-4BF0-B63E-A9FDE44E68C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A9F8A" w14:textId="77777777" w:rsidR="00697DA4" w:rsidRDefault="00697DA4">
      <w:pPr>
        <w:spacing w:line="240" w:lineRule="auto"/>
      </w:pPr>
      <w:r>
        <w:separator/>
      </w:r>
    </w:p>
  </w:footnote>
  <w:footnote w:type="continuationSeparator" w:id="0">
    <w:p w14:paraId="3741F182" w14:textId="77777777" w:rsidR="00697DA4" w:rsidRDefault="00697DA4">
      <w:pPr>
        <w:spacing w:line="240" w:lineRule="auto"/>
      </w:pPr>
      <w:r>
        <w:continuationSeparator/>
      </w:r>
    </w:p>
  </w:footnote>
  <w:footnote w:id="1">
    <w:p w14:paraId="0000001E" w14:textId="77777777" w:rsidR="00EB2284" w:rsidRDefault="00697DA4">
      <w:pPr>
        <w:spacing w:line="240" w:lineRule="auto"/>
        <w:jc w:val="both"/>
        <w:rPr>
          <w:sz w:val="20"/>
          <w:szCs w:val="20"/>
        </w:rPr>
      </w:pPr>
      <w:r>
        <w:rPr>
          <w:vertAlign w:val="superscript"/>
        </w:rPr>
        <w:footnoteRef/>
      </w:r>
      <w:r>
        <w:rPr>
          <w:sz w:val="20"/>
          <w:szCs w:val="20"/>
        </w:rPr>
        <w:t xml:space="preserve"> Juez Nacional del Trabajo. Profesor Adjunto Regular de “DERECH</w:t>
      </w:r>
      <w:r>
        <w:rPr>
          <w:sz w:val="20"/>
          <w:szCs w:val="20"/>
        </w:rPr>
        <w:t xml:space="preserve">O DEL TRABAJO Y LA SEGURIDAD SOCIAL” de las Facultades de Derecho y Ciencias Económicas de la UNIVERSIDAD DE BUENOS AIRES. Publicista.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B2284"/>
    <w:rsid w:val="00697DA4"/>
    <w:rsid w:val="00885199"/>
    <w:rsid w:val="00EB228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2082</Words>
  <Characters>11454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dc:creator>
  <cp:lastModifiedBy>JULIO</cp:lastModifiedBy>
  <cp:revision>2</cp:revision>
  <dcterms:created xsi:type="dcterms:W3CDTF">2025-11-06T09:02:00Z</dcterms:created>
  <dcterms:modified xsi:type="dcterms:W3CDTF">2025-11-06T09:02:00Z</dcterms:modified>
</cp:coreProperties>
</file>